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3" w:rsidRDefault="004F2153" w:rsidP="004F2153">
      <w:pPr>
        <w:pStyle w:val="PONMetroArticolo"/>
        <w:spacing w:before="0"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Presentazione </w:t>
      </w:r>
    </w:p>
    <w:p w:rsidR="004F2153" w:rsidRDefault="004F2153" w:rsidP="004F2153">
      <w:pPr>
        <w:pStyle w:val="PONMetroArticolo"/>
        <w:spacing w:before="0"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AVVISO</w:t>
      </w:r>
      <w:r w:rsidR="008A4C8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PUBBLICO</w:t>
      </w:r>
    </w:p>
    <w:p w:rsidR="004F2153" w:rsidRPr="00DB0067" w:rsidRDefault="004F2153" w:rsidP="004F2153">
      <w:pPr>
        <w:pStyle w:val="PONMetroArticolo"/>
        <w:spacing w:before="0" w:after="0" w:line="24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cstheme="minorHAnsi"/>
          <w:color w:val="000000" w:themeColor="text1"/>
          <w:sz w:val="24"/>
          <w:szCs w:val="24"/>
        </w:rPr>
        <w:t>“</w:t>
      </w:r>
      <w:r w:rsidRPr="00DB0067">
        <w:rPr>
          <w:rFonts w:ascii="Tahoma" w:hAnsi="Tahoma" w:cs="Tahoma"/>
          <w:color w:val="auto"/>
          <w:sz w:val="22"/>
          <w:szCs w:val="22"/>
        </w:rPr>
        <w:t xml:space="preserve">PER LA PRESENTAZIONE DI MANIFESTAZIONI DI INTERESSE </w:t>
      </w:r>
    </w:p>
    <w:p w:rsidR="004F2153" w:rsidRPr="00DB0067" w:rsidRDefault="004F2153" w:rsidP="004F2153">
      <w:pPr>
        <w:pStyle w:val="PONMetroArticolo"/>
        <w:spacing w:before="0" w:after="0" w:line="240" w:lineRule="auto"/>
        <w:rPr>
          <w:rFonts w:ascii="Tahoma" w:hAnsi="Tahoma" w:cs="Tahoma"/>
          <w:color w:val="auto"/>
          <w:sz w:val="22"/>
          <w:szCs w:val="22"/>
        </w:rPr>
      </w:pPr>
      <w:r w:rsidRPr="00DB0067">
        <w:rPr>
          <w:rFonts w:ascii="Tahoma" w:hAnsi="Tahoma" w:cs="Tahoma"/>
          <w:color w:val="auto"/>
          <w:sz w:val="22"/>
          <w:szCs w:val="22"/>
        </w:rPr>
        <w:t xml:space="preserve">PER LA REALIZZAZIONE DI </w:t>
      </w:r>
    </w:p>
    <w:p w:rsidR="004F2153" w:rsidRPr="00DB0067" w:rsidRDefault="004F2153" w:rsidP="004F2153">
      <w:pPr>
        <w:pStyle w:val="PONMetroArticolo"/>
        <w:spacing w:before="0" w:after="0" w:line="240" w:lineRule="auto"/>
        <w:rPr>
          <w:rFonts w:ascii="Tahoma" w:hAnsi="Tahoma" w:cs="Tahoma"/>
          <w:color w:val="auto"/>
          <w:sz w:val="22"/>
          <w:szCs w:val="22"/>
        </w:rPr>
      </w:pPr>
      <w:r w:rsidRPr="00DB0067">
        <w:rPr>
          <w:rFonts w:ascii="Tahoma" w:hAnsi="Tahoma" w:cs="Tahoma"/>
          <w:color w:val="auto"/>
          <w:sz w:val="22"/>
          <w:szCs w:val="22"/>
        </w:rPr>
        <w:t xml:space="preserve"> “PROGETTI</w:t>
      </w:r>
      <w:r w:rsidR="008A4C8F">
        <w:rPr>
          <w:rFonts w:ascii="Tahoma" w:hAnsi="Tahoma" w:cs="Tahoma"/>
          <w:color w:val="auto"/>
          <w:sz w:val="22"/>
          <w:szCs w:val="22"/>
        </w:rPr>
        <w:t xml:space="preserve"> </w:t>
      </w:r>
      <w:r w:rsidRPr="00DB0067">
        <w:rPr>
          <w:rFonts w:ascii="Tahoma" w:hAnsi="Tahoma" w:cs="Tahoma"/>
          <w:color w:val="auto"/>
          <w:sz w:val="22"/>
          <w:szCs w:val="22"/>
        </w:rPr>
        <w:t>UTILI ALLA</w:t>
      </w:r>
      <w:r w:rsidR="008A4C8F">
        <w:rPr>
          <w:rFonts w:ascii="Tahoma" w:hAnsi="Tahoma" w:cs="Tahoma"/>
          <w:color w:val="auto"/>
          <w:sz w:val="22"/>
          <w:szCs w:val="22"/>
        </w:rPr>
        <w:t xml:space="preserve"> </w:t>
      </w:r>
      <w:r w:rsidRPr="00DB0067">
        <w:rPr>
          <w:rFonts w:ascii="Tahoma" w:hAnsi="Tahoma" w:cs="Tahoma"/>
          <w:color w:val="auto"/>
          <w:sz w:val="22"/>
          <w:szCs w:val="22"/>
        </w:rPr>
        <w:t xml:space="preserve">COLLETTIVITA’” </w:t>
      </w:r>
    </w:p>
    <w:p w:rsidR="004F2153" w:rsidRPr="00DB0067" w:rsidRDefault="004F2153" w:rsidP="004F2153">
      <w:pPr>
        <w:pStyle w:val="PONMetroArticolo"/>
        <w:spacing w:before="0" w:after="0" w:line="240" w:lineRule="auto"/>
        <w:rPr>
          <w:rFonts w:ascii="Tahoma" w:hAnsi="Tahoma" w:cs="Tahoma"/>
          <w:color w:val="auto"/>
          <w:sz w:val="22"/>
          <w:szCs w:val="22"/>
        </w:rPr>
      </w:pPr>
      <w:r w:rsidRPr="00DB0067">
        <w:rPr>
          <w:rFonts w:ascii="Tahoma" w:hAnsi="Tahoma" w:cs="Tahoma"/>
          <w:color w:val="auto"/>
          <w:sz w:val="22"/>
          <w:szCs w:val="22"/>
        </w:rPr>
        <w:t>nell’ambito del “REDDITO DI CITTADINANZA”</w:t>
      </w:r>
    </w:p>
    <w:p w:rsidR="004F2153" w:rsidRPr="00DB0067" w:rsidRDefault="004F2153" w:rsidP="004F2153">
      <w:pPr>
        <w:pStyle w:val="PONMetroArticolo"/>
        <w:spacing w:before="0" w:after="0" w:line="240" w:lineRule="auto"/>
        <w:rPr>
          <w:rFonts w:ascii="Tahoma" w:hAnsi="Tahoma" w:cs="Tahoma"/>
          <w:color w:val="auto"/>
          <w:sz w:val="22"/>
          <w:szCs w:val="22"/>
        </w:rPr>
      </w:pPr>
      <w:r w:rsidRPr="00DB0067">
        <w:rPr>
          <w:rFonts w:ascii="Tahoma" w:hAnsi="Tahoma" w:cs="Tahoma"/>
          <w:color w:val="auto"/>
          <w:sz w:val="22"/>
          <w:szCs w:val="22"/>
        </w:rPr>
        <w:t>(in attuazione della L. n. 26/2019)</w:t>
      </w:r>
    </w:p>
    <w:p w:rsidR="004F2153" w:rsidRDefault="004F2153" w:rsidP="004F2153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4F2153" w:rsidRDefault="004F2153" w:rsidP="004F2153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750A6" w:rsidRPr="004F2153" w:rsidRDefault="003D3C8D" w:rsidP="004F2153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4F2153">
        <w:rPr>
          <w:rFonts w:cstheme="minorHAnsi"/>
          <w:color w:val="000000" w:themeColor="text1"/>
          <w:sz w:val="28"/>
          <w:szCs w:val="28"/>
        </w:rPr>
        <w:t xml:space="preserve">Il decreto 4/2019 </w:t>
      </w:r>
      <w:r w:rsidRPr="004F2153">
        <w:rPr>
          <w:rFonts w:cstheme="minorHAnsi"/>
          <w:b/>
          <w:color w:val="000000" w:themeColor="text1"/>
          <w:sz w:val="28"/>
          <w:szCs w:val="28"/>
        </w:rPr>
        <w:t xml:space="preserve">“Disposizioni urgenti in materia di reddito di </w:t>
      </w:r>
      <w:proofErr w:type="spellStart"/>
      <w:r w:rsidRPr="004F2153">
        <w:rPr>
          <w:rFonts w:cstheme="minorHAnsi"/>
          <w:b/>
          <w:color w:val="000000" w:themeColor="text1"/>
          <w:sz w:val="28"/>
          <w:szCs w:val="28"/>
        </w:rPr>
        <w:t>ciittadianza</w:t>
      </w:r>
      <w:proofErr w:type="spellEnd"/>
      <w:r w:rsidRPr="004F2153">
        <w:rPr>
          <w:rFonts w:cstheme="minorHAnsi"/>
          <w:b/>
          <w:color w:val="000000" w:themeColor="text1"/>
          <w:sz w:val="28"/>
          <w:szCs w:val="28"/>
        </w:rPr>
        <w:t xml:space="preserve"> e pensioni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 “ ha istituito il Reddito di Cittadi</w:t>
      </w:r>
      <w:r w:rsidR="004F2153">
        <w:rPr>
          <w:rFonts w:cstheme="minorHAnsi"/>
          <w:color w:val="000000" w:themeColor="text1"/>
          <w:sz w:val="28"/>
          <w:szCs w:val="28"/>
        </w:rPr>
        <w:t>n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anza 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- </w:t>
      </w:r>
      <w:proofErr w:type="spellStart"/>
      <w:r w:rsidR="008A4C8F">
        <w:rPr>
          <w:rFonts w:cstheme="minorHAnsi"/>
          <w:color w:val="000000" w:themeColor="text1"/>
          <w:sz w:val="28"/>
          <w:szCs w:val="28"/>
        </w:rPr>
        <w:t>RdC</w:t>
      </w:r>
      <w:proofErr w:type="spellEnd"/>
      <w:r w:rsidRPr="004F2153">
        <w:rPr>
          <w:rFonts w:cstheme="minorHAnsi"/>
          <w:color w:val="000000" w:themeColor="text1"/>
          <w:sz w:val="28"/>
          <w:szCs w:val="28"/>
        </w:rPr>
        <w:t xml:space="preserve"> quale misura fondamentale di politica attiva di l</w:t>
      </w:r>
      <w:r w:rsidR="00324E18">
        <w:rPr>
          <w:rFonts w:cstheme="minorHAnsi"/>
          <w:color w:val="000000" w:themeColor="text1"/>
          <w:sz w:val="28"/>
          <w:szCs w:val="28"/>
        </w:rPr>
        <w:t>avoro e garanzia del diritto al lavoro, di contr</w:t>
      </w:r>
      <w:r w:rsidRPr="004F2153">
        <w:rPr>
          <w:rFonts w:cstheme="minorHAnsi"/>
          <w:color w:val="000000" w:themeColor="text1"/>
          <w:sz w:val="28"/>
          <w:szCs w:val="28"/>
        </w:rPr>
        <w:t>asto alla po</w:t>
      </w:r>
      <w:r w:rsidR="00324E18">
        <w:rPr>
          <w:rFonts w:cstheme="minorHAnsi"/>
          <w:color w:val="000000" w:themeColor="text1"/>
          <w:sz w:val="28"/>
          <w:szCs w:val="28"/>
        </w:rPr>
        <w:t>v</w:t>
      </w:r>
      <w:r w:rsidRPr="004F2153">
        <w:rPr>
          <w:rFonts w:cstheme="minorHAnsi"/>
          <w:color w:val="000000" w:themeColor="text1"/>
          <w:sz w:val="28"/>
          <w:szCs w:val="28"/>
        </w:rPr>
        <w:t>ertà, alla disuguaglian</w:t>
      </w:r>
      <w:r w:rsidR="00324E18">
        <w:rPr>
          <w:rFonts w:cstheme="minorHAnsi"/>
          <w:color w:val="000000" w:themeColor="text1"/>
          <w:sz w:val="28"/>
          <w:szCs w:val="28"/>
        </w:rPr>
        <w:t xml:space="preserve">za e </w:t>
      </w:r>
      <w:r w:rsidRPr="004F2153">
        <w:rPr>
          <w:rFonts w:cstheme="minorHAnsi"/>
          <w:color w:val="000000" w:themeColor="text1"/>
          <w:sz w:val="28"/>
          <w:szCs w:val="28"/>
        </w:rPr>
        <w:t>all’esclusione sociale</w:t>
      </w:r>
      <w:r w:rsidR="00324E18">
        <w:rPr>
          <w:rFonts w:cstheme="minorHAnsi"/>
          <w:color w:val="000000" w:themeColor="text1"/>
          <w:sz w:val="28"/>
          <w:szCs w:val="28"/>
        </w:rPr>
        <w:t>.</w:t>
      </w:r>
    </w:p>
    <w:p w:rsidR="00324E18" w:rsidRDefault="003D3C8D" w:rsidP="004F2153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4F2153">
        <w:rPr>
          <w:rFonts w:cstheme="minorHAnsi"/>
          <w:color w:val="000000" w:themeColor="text1"/>
          <w:sz w:val="28"/>
          <w:szCs w:val="28"/>
        </w:rPr>
        <w:t>L’art. 4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F2153">
        <w:rPr>
          <w:rFonts w:cstheme="minorHAnsi"/>
          <w:color w:val="000000" w:themeColor="text1"/>
          <w:sz w:val="28"/>
          <w:szCs w:val="28"/>
        </w:rPr>
        <w:t>co</w:t>
      </w:r>
      <w:proofErr w:type="spellEnd"/>
      <w:r w:rsidR="00324E18">
        <w:rPr>
          <w:rFonts w:cstheme="minorHAnsi"/>
          <w:color w:val="000000" w:themeColor="text1"/>
          <w:sz w:val="28"/>
          <w:szCs w:val="28"/>
        </w:rPr>
        <w:t>.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 12 dello stesso Decreto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>stabilisce che il beneficiario è tenuto ad offrire</w:t>
      </w:r>
      <w:r w:rsidR="008A4C8F">
        <w:rPr>
          <w:rFonts w:cstheme="minorHAnsi"/>
          <w:color w:val="000000" w:themeColor="text1"/>
          <w:sz w:val="28"/>
          <w:szCs w:val="28"/>
        </w:rPr>
        <w:t>,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 nell</w:t>
      </w:r>
      <w:r w:rsidR="00324E18">
        <w:rPr>
          <w:rFonts w:cstheme="minorHAnsi"/>
          <w:color w:val="000000" w:themeColor="text1"/>
          <w:sz w:val="28"/>
          <w:szCs w:val="28"/>
        </w:rPr>
        <w:t>’ambito del Patto per il Lavoro e del patto per l’I</w:t>
      </w:r>
      <w:r w:rsidRPr="004F2153">
        <w:rPr>
          <w:rFonts w:cstheme="minorHAnsi"/>
          <w:color w:val="000000" w:themeColor="text1"/>
          <w:sz w:val="28"/>
          <w:szCs w:val="28"/>
        </w:rPr>
        <w:t>nclusione Sociale</w:t>
      </w:r>
      <w:r w:rsidR="008A4C8F">
        <w:rPr>
          <w:rFonts w:cstheme="minorHAnsi"/>
          <w:color w:val="000000" w:themeColor="text1"/>
          <w:sz w:val="28"/>
          <w:szCs w:val="28"/>
        </w:rPr>
        <w:t>,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 la propria disponibilità per la partecipazione a progetti utili alla collettività</w:t>
      </w:r>
      <w:r w:rsidR="0076173C" w:rsidRPr="004F2153">
        <w:rPr>
          <w:rFonts w:cstheme="minorHAnsi"/>
          <w:color w:val="000000" w:themeColor="text1"/>
          <w:sz w:val="28"/>
          <w:szCs w:val="28"/>
        </w:rPr>
        <w:t xml:space="preserve"> 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- </w:t>
      </w:r>
      <w:r w:rsidR="0076173C" w:rsidRPr="004F2153">
        <w:rPr>
          <w:rFonts w:cstheme="minorHAnsi"/>
          <w:color w:val="000000" w:themeColor="text1"/>
          <w:sz w:val="28"/>
          <w:szCs w:val="28"/>
        </w:rPr>
        <w:t>PUC</w:t>
      </w:r>
      <w:r w:rsidR="00324E18">
        <w:rPr>
          <w:rFonts w:cstheme="minorHAnsi"/>
          <w:color w:val="000000" w:themeColor="text1"/>
          <w:sz w:val="28"/>
          <w:szCs w:val="28"/>
        </w:rPr>
        <w:t>.</w:t>
      </w:r>
    </w:p>
    <w:p w:rsidR="003D3C8D" w:rsidRPr="004F2153" w:rsidRDefault="003D3C8D" w:rsidP="004F2153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4F2153">
        <w:rPr>
          <w:rFonts w:cstheme="minorHAnsi"/>
          <w:color w:val="000000" w:themeColor="text1"/>
          <w:sz w:val="28"/>
          <w:szCs w:val="28"/>
        </w:rPr>
        <w:t>I</w:t>
      </w:r>
      <w:r w:rsidR="00324E18">
        <w:rPr>
          <w:rFonts w:cstheme="minorHAnsi"/>
          <w:color w:val="000000" w:themeColor="text1"/>
          <w:sz w:val="28"/>
          <w:szCs w:val="28"/>
        </w:rPr>
        <w:t>l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 successivo decreto 149 /2019</w:t>
      </w:r>
      <w:r w:rsidR="0076173C" w:rsidRPr="004F2153">
        <w:rPr>
          <w:rFonts w:cstheme="minorHAnsi"/>
          <w:color w:val="000000" w:themeColor="text1"/>
          <w:sz w:val="28"/>
          <w:szCs w:val="28"/>
        </w:rPr>
        <w:t xml:space="preserve"> ha stabilito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="0076173C" w:rsidRPr="004F2153">
        <w:rPr>
          <w:rFonts w:cstheme="minorHAnsi"/>
          <w:color w:val="000000" w:themeColor="text1"/>
          <w:sz w:val="28"/>
          <w:szCs w:val="28"/>
        </w:rPr>
        <w:t xml:space="preserve">le forme e </w:t>
      </w:r>
      <w:r w:rsidR="00324E18">
        <w:rPr>
          <w:rFonts w:cstheme="minorHAnsi"/>
          <w:color w:val="000000" w:themeColor="text1"/>
          <w:sz w:val="28"/>
          <w:szCs w:val="28"/>
        </w:rPr>
        <w:t xml:space="preserve">le </w:t>
      </w:r>
      <w:r w:rsidR="0076173C" w:rsidRPr="004F2153">
        <w:rPr>
          <w:rFonts w:cstheme="minorHAnsi"/>
          <w:color w:val="000000" w:themeColor="text1"/>
          <w:sz w:val="28"/>
          <w:szCs w:val="28"/>
        </w:rPr>
        <w:t>c</w:t>
      </w:r>
      <w:r w:rsidR="00324E18">
        <w:rPr>
          <w:rFonts w:cstheme="minorHAnsi"/>
          <w:color w:val="000000" w:themeColor="text1"/>
          <w:sz w:val="28"/>
          <w:szCs w:val="28"/>
        </w:rPr>
        <w:t>a</w:t>
      </w:r>
      <w:r w:rsidR="0076173C" w:rsidRPr="004F2153">
        <w:rPr>
          <w:rFonts w:cstheme="minorHAnsi"/>
          <w:color w:val="000000" w:themeColor="text1"/>
          <w:sz w:val="28"/>
          <w:szCs w:val="28"/>
        </w:rPr>
        <w:t>ratteristiche dei PUC evidenziando alcuni pilastri quali:</w:t>
      </w:r>
    </w:p>
    <w:p w:rsidR="0076173C" w:rsidRPr="004F2153" w:rsidRDefault="0076173C" w:rsidP="004F2153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324E18">
        <w:rPr>
          <w:rFonts w:cstheme="minorHAnsi"/>
          <w:b/>
          <w:color w:val="000000" w:themeColor="text1"/>
          <w:sz w:val="36"/>
          <w:szCs w:val="36"/>
        </w:rPr>
        <w:t>1</w:t>
      </w:r>
      <w:r w:rsidRPr="004F2153">
        <w:rPr>
          <w:rFonts w:cstheme="minorHAnsi"/>
          <w:color w:val="000000" w:themeColor="text1"/>
          <w:sz w:val="28"/>
          <w:szCs w:val="28"/>
        </w:rPr>
        <w:t>.</w:t>
      </w:r>
      <w:r w:rsidR="00324E18">
        <w:rPr>
          <w:rFonts w:cstheme="minorHAnsi"/>
          <w:color w:val="000000" w:themeColor="text1"/>
          <w:sz w:val="28"/>
          <w:szCs w:val="28"/>
        </w:rPr>
        <w:t xml:space="preserve"> La partecipazi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one al PUC rappresenta un obbligo per il beneficiario del </w:t>
      </w:r>
      <w:proofErr w:type="spellStart"/>
      <w:r w:rsidRPr="004F2153">
        <w:rPr>
          <w:rFonts w:cstheme="minorHAnsi"/>
          <w:color w:val="000000" w:themeColor="text1"/>
          <w:sz w:val="28"/>
          <w:szCs w:val="28"/>
        </w:rPr>
        <w:t>RdC</w:t>
      </w:r>
      <w:proofErr w:type="spellEnd"/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>o di un componente del suo nucleo,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>ovvero</w:t>
      </w:r>
      <w:r w:rsidR="00324E18">
        <w:rPr>
          <w:rFonts w:cstheme="minorHAnsi"/>
          <w:color w:val="000000" w:themeColor="text1"/>
          <w:sz w:val="28"/>
          <w:szCs w:val="28"/>
        </w:rPr>
        <w:t xml:space="preserve"> ne </w:t>
      </w:r>
      <w:r w:rsidR="008A4C8F">
        <w:rPr>
          <w:rFonts w:cstheme="minorHAnsi"/>
          <w:color w:val="000000" w:themeColor="text1"/>
          <w:sz w:val="28"/>
          <w:szCs w:val="28"/>
        </w:rPr>
        <w:t>s</w:t>
      </w:r>
      <w:r w:rsidR="00324E18">
        <w:rPr>
          <w:rFonts w:cstheme="minorHAnsi"/>
          <w:color w:val="000000" w:themeColor="text1"/>
          <w:sz w:val="28"/>
          <w:szCs w:val="28"/>
        </w:rPr>
        <w:t>ono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 esonerate alcune tipologie quali disabili, persone con carichi di cura nei confronti di figli minori o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>persone con disabilità e non autosuffic</w:t>
      </w:r>
      <w:r w:rsidR="00324E18">
        <w:rPr>
          <w:rFonts w:cstheme="minorHAnsi"/>
          <w:color w:val="000000" w:themeColor="text1"/>
          <w:sz w:val="28"/>
          <w:szCs w:val="28"/>
        </w:rPr>
        <w:t>i</w:t>
      </w:r>
      <w:r w:rsidRPr="004F2153">
        <w:rPr>
          <w:rFonts w:cstheme="minorHAnsi"/>
          <w:color w:val="000000" w:themeColor="text1"/>
          <w:sz w:val="28"/>
          <w:szCs w:val="28"/>
        </w:rPr>
        <w:t>enza, persone impegnate in percorsi di studio e formazione .</w:t>
      </w:r>
    </w:p>
    <w:p w:rsidR="003F10AE" w:rsidRPr="004F2153" w:rsidRDefault="00324E18" w:rsidP="004F2153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324E18">
        <w:rPr>
          <w:rFonts w:cstheme="minorHAnsi"/>
          <w:b/>
          <w:color w:val="000000" w:themeColor="text1"/>
          <w:sz w:val="36"/>
          <w:szCs w:val="36"/>
        </w:rPr>
        <w:t>2</w:t>
      </w:r>
      <w:r w:rsidR="0076173C" w:rsidRPr="00324E18">
        <w:rPr>
          <w:rFonts w:cstheme="minorHAnsi"/>
          <w:b/>
          <w:color w:val="000000" w:themeColor="text1"/>
          <w:sz w:val="36"/>
          <w:szCs w:val="36"/>
        </w:rPr>
        <w:t>.</w:t>
      </w:r>
      <w:r w:rsidR="0076173C" w:rsidRPr="004F2153">
        <w:rPr>
          <w:rFonts w:cstheme="minorHAnsi"/>
          <w:color w:val="000000" w:themeColor="text1"/>
          <w:sz w:val="28"/>
          <w:szCs w:val="28"/>
        </w:rPr>
        <w:t xml:space="preserve"> Le attività previste nell’ambito di PUC </w:t>
      </w:r>
      <w:r w:rsidR="0076173C" w:rsidRPr="00324E18">
        <w:rPr>
          <w:rFonts w:cstheme="minorHAnsi"/>
          <w:b/>
          <w:color w:val="000000" w:themeColor="text1"/>
          <w:sz w:val="28"/>
          <w:szCs w:val="28"/>
          <w:u w:val="single"/>
        </w:rPr>
        <w:t>NON SONO ASSIMILABILI</w:t>
      </w:r>
      <w:r w:rsidR="0076173C" w:rsidRPr="004F2153">
        <w:rPr>
          <w:rFonts w:cstheme="minorHAnsi"/>
          <w:color w:val="000000" w:themeColor="text1"/>
          <w:sz w:val="28"/>
          <w:szCs w:val="28"/>
        </w:rPr>
        <w:t xml:space="preserve"> ad attività di lavoro subordinato, parasubordinato o autonomo e l’ut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ilizzo dei beneficiari di </w:t>
      </w:r>
      <w:proofErr w:type="spellStart"/>
      <w:r w:rsidR="008A4C8F">
        <w:rPr>
          <w:rFonts w:cstheme="minorHAnsi"/>
          <w:color w:val="000000" w:themeColor="text1"/>
          <w:sz w:val="28"/>
          <w:szCs w:val="28"/>
        </w:rPr>
        <w:t>RdC</w:t>
      </w:r>
      <w:proofErr w:type="spellEnd"/>
      <w:r w:rsidR="008A4C8F">
        <w:rPr>
          <w:rFonts w:cstheme="minorHAnsi"/>
          <w:color w:val="000000" w:themeColor="text1"/>
          <w:sz w:val="28"/>
          <w:szCs w:val="28"/>
        </w:rPr>
        <w:t xml:space="preserve"> i</w:t>
      </w:r>
      <w:r w:rsidR="0076173C" w:rsidRPr="004F2153">
        <w:rPr>
          <w:rFonts w:cstheme="minorHAnsi"/>
          <w:color w:val="000000" w:themeColor="text1"/>
          <w:sz w:val="28"/>
          <w:szCs w:val="28"/>
        </w:rPr>
        <w:t>n tali attività non determina l’instaurazione di un rapporto di lavoro</w:t>
      </w:r>
    </w:p>
    <w:p w:rsidR="00401AE7" w:rsidRDefault="003F10AE" w:rsidP="004F2153">
      <w:pPr>
        <w:pStyle w:val="PONMetroArticolo"/>
        <w:spacing w:before="0" w:after="0"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324E18">
        <w:rPr>
          <w:rFonts w:asciiTheme="minorHAnsi" w:hAnsiTheme="minorHAnsi" w:cstheme="minorHAnsi"/>
          <w:color w:val="000000" w:themeColor="text1"/>
          <w:sz w:val="36"/>
          <w:szCs w:val="36"/>
        </w:rPr>
        <w:t>3.</w:t>
      </w:r>
      <w:r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 w:rsidR="00FD51B2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L’utilizzo da parte del legislatore del termine </w:t>
      </w:r>
      <w:r w:rsidR="00FD51B2" w:rsidRPr="00C42C93">
        <w:rPr>
          <w:rFonts w:asciiTheme="minorHAnsi" w:hAnsiTheme="minorHAnsi" w:cstheme="minorHAnsi"/>
          <w:color w:val="000000" w:themeColor="text1"/>
          <w:sz w:val="28"/>
          <w:szCs w:val="28"/>
        </w:rPr>
        <w:t>“PROGETTO</w:t>
      </w:r>
      <w:r w:rsidR="00FD51B2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” richiama</w:t>
      </w:r>
      <w:r w:rsidR="008A4C8F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 w:rsidR="00FD51B2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l’attenzione sulla necessità di prevedere attività non legate all’</w:t>
      </w:r>
      <w:r w:rsidR="005100D9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ordinarietà, ma che siano invece finalizzate alla individuazione e raggiungimento </w:t>
      </w:r>
      <w:r w:rsidR="00324E18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di specifici obiettivi su attiv</w:t>
      </w:r>
      <w:r w:rsidR="005100D9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ità com</w:t>
      </w:r>
      <w:r w:rsidR="00324E18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p</w:t>
      </w:r>
      <w:r w:rsidR="005100D9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lementari a supporto e integrazione rispetto a quelle</w:t>
      </w:r>
      <w:r w:rsidR="00324E18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ordi</w:t>
      </w:r>
      <w:r w:rsidR="005100D9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nariamente svolte dai Comuni</w:t>
      </w:r>
      <w:r w:rsidR="00324E18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.</w:t>
      </w:r>
      <w:r w:rsidR="008A4C8F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 w:rsidR="00401AE7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Il Comune di Bari, in qualità di Soggetto titolare delle azioni volte all’attuazione dei Progetti Utili alla Collettività (PUC) in ottemperanza al Decreto n. 149 del 22.10.2019, intende promuovere i PUC non solo come strumento di attivazione dei beneficiari del Reddito di Cittadinanza ma anche come occasione di crescita e qualificazione della comunità a partire dal coinvolgimento in termini di </w:t>
      </w:r>
      <w:proofErr w:type="spellStart"/>
      <w:r w:rsidR="00401AE7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empowerment</w:t>
      </w:r>
      <w:proofErr w:type="spellEnd"/>
      <w:r w:rsidR="00401AE7" w:rsidRPr="004F2153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delle persone coinvolte.</w:t>
      </w:r>
      <w:r w:rsidR="008A4C8F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</w:p>
    <w:p w:rsidR="00C42C93" w:rsidRPr="004F2153" w:rsidRDefault="00C42C93" w:rsidP="008A4C8F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C42C93">
        <w:rPr>
          <w:rFonts w:cstheme="minorHAnsi"/>
          <w:b/>
          <w:color w:val="000000" w:themeColor="text1"/>
          <w:sz w:val="36"/>
          <w:szCs w:val="36"/>
        </w:rPr>
        <w:lastRenderedPageBreak/>
        <w:t>4.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I beneficiari del </w:t>
      </w:r>
      <w:proofErr w:type="spellStart"/>
      <w:r w:rsidRPr="004F2153">
        <w:rPr>
          <w:rFonts w:cstheme="minorHAnsi"/>
          <w:color w:val="000000" w:themeColor="text1"/>
          <w:sz w:val="28"/>
          <w:szCs w:val="28"/>
        </w:rPr>
        <w:t>RdC</w:t>
      </w:r>
      <w:proofErr w:type="spellEnd"/>
      <w:r w:rsidRPr="004F2153">
        <w:rPr>
          <w:rFonts w:cstheme="minorHAnsi"/>
          <w:color w:val="000000" w:themeColor="text1"/>
          <w:sz w:val="28"/>
          <w:szCs w:val="28"/>
        </w:rPr>
        <w:t xml:space="preserve"> tenuti agli obblighi, si impegnano nel PUC per un </w:t>
      </w:r>
      <w:r>
        <w:rPr>
          <w:rFonts w:cstheme="minorHAnsi"/>
          <w:color w:val="000000" w:themeColor="text1"/>
          <w:sz w:val="28"/>
          <w:szCs w:val="28"/>
        </w:rPr>
        <w:t>tempo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non inferiore ad 8 e non superiore a 16 ore settimanali compatibilmente con altre attività svolte dallo stesso. </w:t>
      </w:r>
      <w:r>
        <w:rPr>
          <w:rFonts w:cstheme="minorHAnsi"/>
          <w:color w:val="000000" w:themeColor="text1"/>
          <w:sz w:val="28"/>
          <w:szCs w:val="28"/>
        </w:rPr>
        <w:t>La partecipazione del cittadino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>al PUC avverrà sulla base di riconosciute competenze ed esperienze maturate nei settori oggetto dei PUC stessi.</w:t>
      </w:r>
    </w:p>
    <w:p w:rsidR="00324E18" w:rsidRDefault="00C42C93" w:rsidP="00BD6FE2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36"/>
          <w:szCs w:val="36"/>
        </w:rPr>
        <w:t>5</w:t>
      </w:r>
      <w:r w:rsidR="00D31E20" w:rsidRPr="00324E18">
        <w:rPr>
          <w:rFonts w:cstheme="minorHAnsi"/>
          <w:b/>
          <w:color w:val="000000" w:themeColor="text1"/>
          <w:sz w:val="36"/>
          <w:szCs w:val="36"/>
        </w:rPr>
        <w:t>.</w:t>
      </w:r>
      <w:r w:rsidR="00D31E20" w:rsidRPr="004F2153">
        <w:rPr>
          <w:rFonts w:cstheme="minorHAnsi"/>
          <w:color w:val="000000" w:themeColor="text1"/>
          <w:sz w:val="28"/>
          <w:szCs w:val="28"/>
        </w:rPr>
        <w:t xml:space="preserve"> Al fine di ampliare l’offerta dei PUC, la norma ha previsto la possibilità per i Comuni di coinvolgere altri soggetti Pubblici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="00D31E20" w:rsidRPr="004F2153">
        <w:rPr>
          <w:rFonts w:cstheme="minorHAnsi"/>
          <w:color w:val="000000" w:themeColor="text1"/>
          <w:sz w:val="28"/>
          <w:szCs w:val="28"/>
        </w:rPr>
        <w:t>o del provato sociale (</w:t>
      </w:r>
      <w:r w:rsidR="00D31E20" w:rsidRPr="00324E18">
        <w:rPr>
          <w:rFonts w:cstheme="minorHAnsi"/>
          <w:i/>
          <w:color w:val="000000" w:themeColor="text1"/>
          <w:sz w:val="28"/>
          <w:szCs w:val="28"/>
        </w:rPr>
        <w:t xml:space="preserve">Enti del terzo settore così come definiti dall’art 4 del </w:t>
      </w:r>
      <w:proofErr w:type="spellStart"/>
      <w:r w:rsidR="00D31E20" w:rsidRPr="00324E18">
        <w:rPr>
          <w:rFonts w:cstheme="minorHAnsi"/>
          <w:i/>
          <w:color w:val="000000" w:themeColor="text1"/>
          <w:sz w:val="28"/>
          <w:szCs w:val="28"/>
        </w:rPr>
        <w:t>D.Lgs</w:t>
      </w:r>
      <w:proofErr w:type="spellEnd"/>
      <w:r w:rsidR="00D31E20" w:rsidRPr="00324E18">
        <w:rPr>
          <w:rFonts w:cstheme="minorHAnsi"/>
          <w:i/>
          <w:color w:val="000000" w:themeColor="text1"/>
          <w:sz w:val="28"/>
          <w:szCs w:val="28"/>
        </w:rPr>
        <w:t xml:space="preserve"> 117/2017)</w:t>
      </w:r>
      <w:r w:rsidR="00D31E20" w:rsidRPr="004F2153">
        <w:rPr>
          <w:rFonts w:cstheme="minorHAnsi"/>
          <w:color w:val="000000" w:themeColor="text1"/>
          <w:sz w:val="28"/>
          <w:szCs w:val="28"/>
        </w:rPr>
        <w:t xml:space="preserve"> attraverso una procedura pubblica </w:t>
      </w:r>
      <w:r w:rsidR="00324E18">
        <w:rPr>
          <w:rFonts w:cstheme="minorHAnsi"/>
          <w:color w:val="000000" w:themeColor="text1"/>
          <w:sz w:val="28"/>
          <w:szCs w:val="28"/>
        </w:rPr>
        <w:t>nel rispetto dei pri</w:t>
      </w:r>
      <w:r w:rsidR="00D31E20" w:rsidRPr="004F2153">
        <w:rPr>
          <w:rFonts w:cstheme="minorHAnsi"/>
          <w:color w:val="000000" w:themeColor="text1"/>
          <w:sz w:val="28"/>
          <w:szCs w:val="28"/>
        </w:rPr>
        <w:t>ncipi di trasparenza, imparz</w:t>
      </w:r>
      <w:r w:rsidR="00324E18">
        <w:rPr>
          <w:rFonts w:cstheme="minorHAnsi"/>
          <w:color w:val="000000" w:themeColor="text1"/>
          <w:sz w:val="28"/>
          <w:szCs w:val="28"/>
        </w:rPr>
        <w:t>ialità, par</w:t>
      </w:r>
      <w:r w:rsidR="00D31E20" w:rsidRPr="004F2153">
        <w:rPr>
          <w:rFonts w:cstheme="minorHAnsi"/>
          <w:color w:val="000000" w:themeColor="text1"/>
          <w:sz w:val="28"/>
          <w:szCs w:val="28"/>
        </w:rPr>
        <w:t>tecipazione e</w:t>
      </w:r>
      <w:r w:rsidR="00324E18">
        <w:rPr>
          <w:rFonts w:cstheme="minorHAnsi"/>
          <w:color w:val="000000" w:themeColor="text1"/>
          <w:sz w:val="28"/>
          <w:szCs w:val="28"/>
        </w:rPr>
        <w:t xml:space="preserve"> </w:t>
      </w:r>
      <w:r w:rsidR="00D31E20" w:rsidRPr="004F2153">
        <w:rPr>
          <w:rFonts w:cstheme="minorHAnsi"/>
          <w:color w:val="000000" w:themeColor="text1"/>
          <w:sz w:val="28"/>
          <w:szCs w:val="28"/>
        </w:rPr>
        <w:t>parità di trattamento,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="00D31E20" w:rsidRPr="004F2153">
        <w:rPr>
          <w:rFonts w:cstheme="minorHAnsi"/>
          <w:color w:val="000000" w:themeColor="text1"/>
          <w:sz w:val="28"/>
          <w:szCs w:val="28"/>
        </w:rPr>
        <w:t>finalizzata a raccogliere manifestazioni d</w:t>
      </w:r>
      <w:r w:rsidR="00324E18">
        <w:rPr>
          <w:rFonts w:cstheme="minorHAnsi"/>
          <w:color w:val="000000" w:themeColor="text1"/>
          <w:sz w:val="28"/>
          <w:szCs w:val="28"/>
        </w:rPr>
        <w:t>’interesse e ad alime</w:t>
      </w:r>
      <w:r w:rsidR="00D31E20" w:rsidRPr="004F2153">
        <w:rPr>
          <w:rFonts w:cstheme="minorHAnsi"/>
          <w:color w:val="000000" w:themeColor="text1"/>
          <w:sz w:val="28"/>
          <w:szCs w:val="28"/>
        </w:rPr>
        <w:t>ntar</w:t>
      </w:r>
      <w:r w:rsidR="00324E18">
        <w:rPr>
          <w:rFonts w:cstheme="minorHAnsi"/>
          <w:color w:val="000000" w:themeColor="text1"/>
          <w:sz w:val="28"/>
          <w:szCs w:val="28"/>
        </w:rPr>
        <w:t xml:space="preserve">e il catalogo dei PUC per il </w:t>
      </w:r>
      <w:r w:rsidR="00D31E20" w:rsidRPr="004F2153">
        <w:rPr>
          <w:rFonts w:cstheme="minorHAnsi"/>
          <w:color w:val="000000" w:themeColor="text1"/>
          <w:sz w:val="28"/>
          <w:szCs w:val="28"/>
        </w:rPr>
        <w:t>Comune di Bari.</w:t>
      </w:r>
    </w:p>
    <w:p w:rsidR="005268AE" w:rsidRDefault="00D31E20" w:rsidP="004F2153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4F2153">
        <w:rPr>
          <w:rFonts w:cstheme="minorHAnsi"/>
          <w:color w:val="000000" w:themeColor="text1"/>
          <w:sz w:val="28"/>
          <w:szCs w:val="28"/>
        </w:rPr>
        <w:t>I progetti e gli enti proponenti definiti soggetti partner, sottoscriveranno apposita convenzione</w:t>
      </w:r>
      <w:r w:rsidR="005268AE" w:rsidRPr="004F2153">
        <w:rPr>
          <w:rFonts w:cstheme="minorHAnsi"/>
          <w:color w:val="000000" w:themeColor="text1"/>
          <w:sz w:val="28"/>
          <w:szCs w:val="28"/>
        </w:rPr>
        <w:t xml:space="preserve"> nella quale saranno disciplinate le modalità attuative del PUC.</w:t>
      </w:r>
      <w:r w:rsidR="00324E18">
        <w:rPr>
          <w:rFonts w:cstheme="minorHAnsi"/>
          <w:color w:val="000000" w:themeColor="text1"/>
          <w:sz w:val="28"/>
          <w:szCs w:val="28"/>
        </w:rPr>
        <w:t xml:space="preserve"> Non possono essere oggetto di P</w:t>
      </w:r>
      <w:r w:rsidR="005268AE" w:rsidRPr="004F2153">
        <w:rPr>
          <w:rFonts w:cstheme="minorHAnsi"/>
          <w:color w:val="000000" w:themeColor="text1"/>
          <w:sz w:val="28"/>
          <w:szCs w:val="28"/>
        </w:rPr>
        <w:t>UC attività connesse alla realizzazione di lavori o opere pubbliche g</w:t>
      </w:r>
      <w:r w:rsidR="00324E18">
        <w:rPr>
          <w:rFonts w:cstheme="minorHAnsi"/>
          <w:color w:val="000000" w:themeColor="text1"/>
          <w:sz w:val="28"/>
          <w:szCs w:val="28"/>
        </w:rPr>
        <w:t>ià oggetto di appalto, ovvero a</w:t>
      </w:r>
      <w:r w:rsidR="005268AE" w:rsidRPr="004F2153">
        <w:rPr>
          <w:rFonts w:cstheme="minorHAnsi"/>
          <w:color w:val="000000" w:themeColor="text1"/>
          <w:sz w:val="28"/>
          <w:szCs w:val="28"/>
        </w:rPr>
        <w:t>ttività sostitutive di analoghe iniziative affidate esternamente dai Comuni</w:t>
      </w:r>
      <w:r w:rsidR="00324E18">
        <w:rPr>
          <w:rFonts w:cstheme="minorHAnsi"/>
          <w:color w:val="000000" w:themeColor="text1"/>
          <w:sz w:val="28"/>
          <w:szCs w:val="28"/>
        </w:rPr>
        <w:t>.</w:t>
      </w:r>
    </w:p>
    <w:p w:rsidR="00BD6FE2" w:rsidRDefault="00401AE7" w:rsidP="00BD6FE2">
      <w:pPr>
        <w:tabs>
          <w:tab w:val="left" w:pos="474"/>
        </w:tabs>
        <w:spacing w:before="1" w:after="0"/>
        <w:ind w:right="368"/>
        <w:rPr>
          <w:rFonts w:cstheme="minorHAnsi"/>
          <w:color w:val="000000" w:themeColor="text1"/>
          <w:sz w:val="28"/>
          <w:szCs w:val="28"/>
        </w:rPr>
      </w:pPr>
      <w:r w:rsidRPr="00BD6FE2">
        <w:rPr>
          <w:rFonts w:cstheme="minorHAnsi"/>
          <w:b/>
          <w:color w:val="000000" w:themeColor="text1"/>
          <w:sz w:val="36"/>
          <w:szCs w:val="36"/>
        </w:rPr>
        <w:t>6.</w:t>
      </w:r>
      <w:r w:rsidR="00BD6FE2">
        <w:rPr>
          <w:rFonts w:cstheme="minorHAnsi"/>
          <w:color w:val="000000" w:themeColor="text1"/>
          <w:sz w:val="28"/>
          <w:szCs w:val="28"/>
        </w:rPr>
        <w:t xml:space="preserve"> Ambiti di in</w:t>
      </w:r>
      <w:r w:rsidRPr="004F2153">
        <w:rPr>
          <w:rFonts w:cstheme="minorHAnsi"/>
          <w:color w:val="000000" w:themeColor="text1"/>
          <w:sz w:val="28"/>
          <w:szCs w:val="28"/>
        </w:rPr>
        <w:t>t</w:t>
      </w:r>
      <w:r w:rsidR="00BD6FE2">
        <w:rPr>
          <w:rFonts w:cstheme="minorHAnsi"/>
          <w:color w:val="000000" w:themeColor="text1"/>
          <w:sz w:val="28"/>
          <w:szCs w:val="28"/>
        </w:rPr>
        <w:t>e</w:t>
      </w:r>
      <w:r w:rsidRPr="004F2153">
        <w:rPr>
          <w:rFonts w:cstheme="minorHAnsi"/>
          <w:color w:val="000000" w:themeColor="text1"/>
          <w:sz w:val="28"/>
          <w:szCs w:val="28"/>
        </w:rPr>
        <w:t>rvento dei PUC</w:t>
      </w:r>
      <w:r w:rsidR="00BD6FE2">
        <w:rPr>
          <w:rFonts w:cstheme="minorHAnsi"/>
          <w:color w:val="000000" w:themeColor="text1"/>
          <w:sz w:val="28"/>
          <w:szCs w:val="28"/>
        </w:rPr>
        <w:t xml:space="preserve"> sono</w:t>
      </w:r>
    </w:p>
    <w:p w:rsidR="00BD6FE2" w:rsidRPr="00DB0067" w:rsidRDefault="00BD6FE2" w:rsidP="00BD6FE2">
      <w:pPr>
        <w:pStyle w:val="Paragrafoelenco"/>
        <w:numPr>
          <w:ilvl w:val="1"/>
          <w:numId w:val="1"/>
        </w:numPr>
        <w:tabs>
          <w:tab w:val="left" w:pos="474"/>
        </w:tabs>
        <w:spacing w:before="1" w:line="360" w:lineRule="auto"/>
        <w:ind w:right="368"/>
        <w:jc w:val="both"/>
      </w:pPr>
      <w:r w:rsidRPr="00DB0067">
        <w:t>Culturale</w:t>
      </w:r>
    </w:p>
    <w:p w:rsidR="00BD6FE2" w:rsidRPr="00DB0067" w:rsidRDefault="00BD6FE2" w:rsidP="00BD6FE2">
      <w:pPr>
        <w:pStyle w:val="Paragrafoelenco"/>
        <w:numPr>
          <w:ilvl w:val="1"/>
          <w:numId w:val="1"/>
        </w:numPr>
        <w:tabs>
          <w:tab w:val="left" w:pos="474"/>
        </w:tabs>
        <w:spacing w:before="1" w:line="360" w:lineRule="auto"/>
        <w:ind w:right="368"/>
        <w:jc w:val="both"/>
      </w:pPr>
      <w:r w:rsidRPr="00DB0067">
        <w:t>Sociale</w:t>
      </w:r>
    </w:p>
    <w:p w:rsidR="00BD6FE2" w:rsidRPr="00DB0067" w:rsidRDefault="00BD6FE2" w:rsidP="00BD6FE2">
      <w:pPr>
        <w:pStyle w:val="Paragrafoelenco"/>
        <w:numPr>
          <w:ilvl w:val="1"/>
          <w:numId w:val="1"/>
        </w:numPr>
        <w:tabs>
          <w:tab w:val="left" w:pos="474"/>
        </w:tabs>
        <w:spacing w:before="1" w:line="360" w:lineRule="auto"/>
        <w:ind w:right="368"/>
        <w:jc w:val="both"/>
      </w:pPr>
      <w:r w:rsidRPr="00DB0067">
        <w:t>Artistico</w:t>
      </w:r>
    </w:p>
    <w:p w:rsidR="00BD6FE2" w:rsidRPr="00DB0067" w:rsidRDefault="00BD6FE2" w:rsidP="00BD6FE2">
      <w:pPr>
        <w:pStyle w:val="Paragrafoelenco"/>
        <w:numPr>
          <w:ilvl w:val="1"/>
          <w:numId w:val="1"/>
        </w:numPr>
        <w:tabs>
          <w:tab w:val="left" w:pos="474"/>
        </w:tabs>
        <w:spacing w:before="1" w:line="360" w:lineRule="auto"/>
        <w:ind w:right="368"/>
        <w:jc w:val="both"/>
      </w:pPr>
      <w:r w:rsidRPr="00DB0067">
        <w:t>Ambientale</w:t>
      </w:r>
    </w:p>
    <w:p w:rsidR="00BD6FE2" w:rsidRPr="00DB0067" w:rsidRDefault="00BD6FE2" w:rsidP="00BD6FE2">
      <w:pPr>
        <w:pStyle w:val="Paragrafoelenco"/>
        <w:numPr>
          <w:ilvl w:val="1"/>
          <w:numId w:val="1"/>
        </w:numPr>
        <w:tabs>
          <w:tab w:val="left" w:pos="474"/>
        </w:tabs>
        <w:spacing w:before="1" w:line="360" w:lineRule="auto"/>
        <w:ind w:right="368"/>
        <w:jc w:val="both"/>
      </w:pPr>
      <w:r w:rsidRPr="00DB0067">
        <w:t>Formativo</w:t>
      </w:r>
    </w:p>
    <w:p w:rsidR="00BD6FE2" w:rsidRPr="00DB0067" w:rsidRDefault="00BD6FE2" w:rsidP="00BD6FE2">
      <w:pPr>
        <w:pStyle w:val="Paragrafoelenco"/>
        <w:numPr>
          <w:ilvl w:val="1"/>
          <w:numId w:val="1"/>
        </w:numPr>
        <w:tabs>
          <w:tab w:val="left" w:pos="474"/>
        </w:tabs>
        <w:spacing w:before="1" w:line="360" w:lineRule="auto"/>
        <w:ind w:right="368"/>
        <w:jc w:val="both"/>
      </w:pPr>
      <w:r w:rsidRPr="00DB0067">
        <w:t>Tutela dei beni comuni</w:t>
      </w:r>
    </w:p>
    <w:p w:rsidR="00BD6FE2" w:rsidRDefault="00401AE7" w:rsidP="00BD6FE2">
      <w:pPr>
        <w:tabs>
          <w:tab w:val="left" w:pos="474"/>
        </w:tabs>
        <w:spacing w:before="1" w:after="0"/>
        <w:ind w:right="368"/>
        <w:jc w:val="both"/>
        <w:rPr>
          <w:rFonts w:cstheme="minorHAnsi"/>
          <w:color w:val="000000" w:themeColor="text1"/>
          <w:sz w:val="28"/>
          <w:szCs w:val="28"/>
        </w:rPr>
      </w:pPr>
      <w:r w:rsidRPr="00BD6FE2">
        <w:rPr>
          <w:rFonts w:cstheme="minorHAnsi"/>
          <w:b/>
          <w:color w:val="000000" w:themeColor="text1"/>
          <w:sz w:val="36"/>
          <w:szCs w:val="36"/>
        </w:rPr>
        <w:t>7.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 Agli Enti attuatori dei PUC non verrà riconosciut</w:t>
      </w:r>
      <w:r w:rsidR="00C42C93">
        <w:rPr>
          <w:rFonts w:cstheme="minorHAnsi"/>
          <w:color w:val="000000" w:themeColor="text1"/>
          <w:sz w:val="28"/>
          <w:szCs w:val="28"/>
        </w:rPr>
        <w:t>o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 alcun corrispettivo per la predisposizione della proposta progettuale</w:t>
      </w:r>
      <w:r w:rsidR="00492462" w:rsidRPr="004F2153">
        <w:rPr>
          <w:rFonts w:cstheme="minorHAnsi"/>
          <w:color w:val="000000" w:themeColor="text1"/>
          <w:sz w:val="28"/>
          <w:szCs w:val="28"/>
        </w:rPr>
        <w:t>.</w:t>
      </w:r>
    </w:p>
    <w:p w:rsidR="00401AE7" w:rsidRPr="004F2153" w:rsidRDefault="00492462" w:rsidP="00BD6FE2">
      <w:pPr>
        <w:tabs>
          <w:tab w:val="left" w:pos="474"/>
        </w:tabs>
        <w:spacing w:before="1" w:after="0"/>
        <w:ind w:right="368"/>
        <w:jc w:val="both"/>
        <w:rPr>
          <w:rFonts w:cstheme="minorHAnsi"/>
          <w:color w:val="000000" w:themeColor="text1"/>
          <w:sz w:val="28"/>
          <w:szCs w:val="28"/>
        </w:rPr>
      </w:pPr>
      <w:r w:rsidRPr="004F2153">
        <w:rPr>
          <w:rFonts w:cstheme="minorHAnsi"/>
          <w:color w:val="000000" w:themeColor="text1"/>
          <w:sz w:val="28"/>
          <w:szCs w:val="28"/>
        </w:rPr>
        <w:t xml:space="preserve"> Verrà altresì riconosciuto un ri</w:t>
      </w:r>
      <w:r w:rsidR="00BD6FE2">
        <w:rPr>
          <w:rFonts w:cstheme="minorHAnsi"/>
          <w:color w:val="000000" w:themeColor="text1"/>
          <w:sz w:val="28"/>
          <w:szCs w:val="28"/>
        </w:rPr>
        <w:t>m</w:t>
      </w:r>
      <w:r w:rsidRPr="004F2153">
        <w:rPr>
          <w:rFonts w:cstheme="minorHAnsi"/>
          <w:color w:val="000000" w:themeColor="text1"/>
          <w:sz w:val="28"/>
          <w:szCs w:val="28"/>
        </w:rPr>
        <w:t xml:space="preserve">borso sino ad un massimo di </w:t>
      </w:r>
      <w:r w:rsidR="00BD6FE2">
        <w:rPr>
          <w:rFonts w:cstheme="minorHAnsi"/>
          <w:color w:val="000000" w:themeColor="text1"/>
          <w:sz w:val="28"/>
          <w:szCs w:val="28"/>
        </w:rPr>
        <w:t xml:space="preserve">€. </w:t>
      </w:r>
      <w:r w:rsidRPr="004F2153">
        <w:rPr>
          <w:rFonts w:cstheme="minorHAnsi"/>
          <w:color w:val="000000" w:themeColor="text1"/>
          <w:sz w:val="28"/>
          <w:szCs w:val="28"/>
        </w:rPr>
        <w:t>10.000 per ciascun PUC</w:t>
      </w:r>
      <w:r w:rsidR="00BD6FE2">
        <w:rPr>
          <w:rFonts w:cstheme="minorHAnsi"/>
          <w:color w:val="000000" w:themeColor="text1"/>
          <w:sz w:val="28"/>
          <w:szCs w:val="28"/>
        </w:rPr>
        <w:t>,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>relativamente a spese</w:t>
      </w:r>
      <w:r w:rsidR="00C42C93">
        <w:rPr>
          <w:rFonts w:cstheme="minorHAnsi"/>
          <w:color w:val="000000" w:themeColor="text1"/>
          <w:sz w:val="28"/>
          <w:szCs w:val="28"/>
        </w:rPr>
        <w:t xml:space="preserve"> sostenute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>per la realizzazione del</w:t>
      </w:r>
      <w:r w:rsidR="00C42C93">
        <w:rPr>
          <w:rFonts w:cstheme="minorHAnsi"/>
          <w:color w:val="000000" w:themeColor="text1"/>
          <w:sz w:val="28"/>
          <w:szCs w:val="28"/>
        </w:rPr>
        <w:t xml:space="preserve"> PUC</w:t>
      </w:r>
      <w:r w:rsidR="008A4C8F">
        <w:rPr>
          <w:rFonts w:cstheme="minorHAnsi"/>
          <w:color w:val="000000" w:themeColor="text1"/>
          <w:sz w:val="28"/>
          <w:szCs w:val="28"/>
        </w:rPr>
        <w:t xml:space="preserve"> </w:t>
      </w:r>
      <w:r w:rsidRPr="004F2153">
        <w:rPr>
          <w:rFonts w:cstheme="minorHAnsi"/>
          <w:color w:val="000000" w:themeColor="text1"/>
          <w:sz w:val="28"/>
          <w:szCs w:val="28"/>
        </w:rPr>
        <w:t>stess</w:t>
      </w:r>
      <w:r w:rsidR="00BD6FE2">
        <w:rPr>
          <w:rFonts w:cstheme="minorHAnsi"/>
          <w:color w:val="000000" w:themeColor="text1"/>
          <w:sz w:val="28"/>
          <w:szCs w:val="28"/>
        </w:rPr>
        <w:t>o ed in particol</w:t>
      </w:r>
      <w:r w:rsidRPr="004F2153">
        <w:rPr>
          <w:rFonts w:cstheme="minorHAnsi"/>
          <w:color w:val="000000" w:themeColor="text1"/>
          <w:sz w:val="28"/>
          <w:szCs w:val="28"/>
        </w:rPr>
        <w:t>are:</w:t>
      </w:r>
    </w:p>
    <w:p w:rsidR="00492462" w:rsidRPr="004F2153" w:rsidRDefault="00492462" w:rsidP="00BD6FE2">
      <w:pPr>
        <w:pStyle w:val="Paragrafoelenco"/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kern w:val="2"/>
          <w:sz w:val="28"/>
          <w:szCs w:val="28"/>
          <w:lang w:eastAsia="en-US" w:bidi="ar-SA"/>
        </w:rPr>
      </w:pPr>
      <w:r w:rsidRPr="004F215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bidi="ar-SA"/>
        </w:rPr>
        <w:t>spese per il trasporto su mezzo pubblico;</w:t>
      </w:r>
    </w:p>
    <w:p w:rsidR="00492462" w:rsidRPr="004F2153" w:rsidRDefault="00492462" w:rsidP="00BD6FE2">
      <w:pPr>
        <w:pStyle w:val="Paragrafoelenco"/>
        <w:widowControl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kern w:val="2"/>
          <w:sz w:val="28"/>
          <w:szCs w:val="28"/>
          <w:lang w:eastAsia="en-US" w:bidi="ar-SA"/>
        </w:rPr>
      </w:pPr>
      <w:r w:rsidRPr="004F2153">
        <w:rPr>
          <w:rFonts w:asciiTheme="minorHAnsi" w:hAnsiTheme="minorHAnsi" w:cstheme="minorHAnsi"/>
          <w:color w:val="000000" w:themeColor="text1"/>
          <w:sz w:val="28"/>
          <w:szCs w:val="28"/>
        </w:rPr>
        <w:t>dotazioni anti infortunistiche e presidi – assegnati in base alla normativa sulla sicurezza;</w:t>
      </w:r>
    </w:p>
    <w:p w:rsidR="00492462" w:rsidRPr="004F2153" w:rsidRDefault="00492462" w:rsidP="00BD6FE2">
      <w:pPr>
        <w:pStyle w:val="Paragrafoelenco"/>
        <w:widowControl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kern w:val="2"/>
          <w:sz w:val="28"/>
          <w:szCs w:val="28"/>
          <w:lang w:eastAsia="en-US" w:bidi="ar-SA"/>
        </w:rPr>
      </w:pPr>
      <w:r w:rsidRPr="004F21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visite mediche ai fini della sicurezza sui luoghi di lavoro, ex D. </w:t>
      </w:r>
      <w:proofErr w:type="spellStart"/>
      <w:r w:rsidRPr="004F2153">
        <w:rPr>
          <w:rFonts w:asciiTheme="minorHAnsi" w:hAnsiTheme="minorHAnsi" w:cstheme="minorHAnsi"/>
          <w:color w:val="000000" w:themeColor="text1"/>
          <w:sz w:val="28"/>
          <w:szCs w:val="28"/>
        </w:rPr>
        <w:t>Lgs</w:t>
      </w:r>
      <w:proofErr w:type="spellEnd"/>
      <w:r w:rsidRPr="004F2153">
        <w:rPr>
          <w:rFonts w:asciiTheme="minorHAnsi" w:hAnsiTheme="minorHAnsi" w:cstheme="minorHAnsi"/>
          <w:color w:val="000000" w:themeColor="text1"/>
          <w:sz w:val="28"/>
          <w:szCs w:val="28"/>
        </w:rPr>
        <w:t>. 81/2008 – solo quelle obbligatoriamente previste dalla normativa;</w:t>
      </w:r>
    </w:p>
    <w:p w:rsidR="00492462" w:rsidRPr="004F2153" w:rsidRDefault="00492462" w:rsidP="00BD6FE2">
      <w:pPr>
        <w:pStyle w:val="Paragrafoelenco"/>
        <w:widowControl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kern w:val="2"/>
          <w:sz w:val="28"/>
          <w:szCs w:val="28"/>
          <w:lang w:eastAsia="en-US" w:bidi="ar-SA"/>
        </w:rPr>
      </w:pPr>
      <w:r w:rsidRPr="004F2153">
        <w:rPr>
          <w:rFonts w:asciiTheme="minorHAnsi" w:hAnsiTheme="minorHAnsi" w:cstheme="minorHAnsi"/>
          <w:color w:val="000000" w:themeColor="text1"/>
          <w:sz w:val="28"/>
          <w:szCs w:val="28"/>
        </w:rPr>
        <w:t>materiale e strumenti necessari ed utili per l’attuazione dei progetti;</w:t>
      </w:r>
    </w:p>
    <w:p w:rsidR="00492462" w:rsidRPr="004F2153" w:rsidRDefault="00492462" w:rsidP="00BD6FE2">
      <w:pPr>
        <w:pStyle w:val="Paragrafoelenco"/>
        <w:widowControl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kern w:val="2"/>
          <w:sz w:val="28"/>
          <w:szCs w:val="28"/>
          <w:lang w:eastAsia="en-US" w:bidi="ar-SA"/>
        </w:rPr>
      </w:pPr>
      <w:r w:rsidRPr="004F215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bidi="ar-SA"/>
        </w:rPr>
        <w:t>dispositivi</w:t>
      </w:r>
      <w:r w:rsidR="008A4C8F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bidi="ar-SA"/>
        </w:rPr>
        <w:t xml:space="preserve"> </w:t>
      </w:r>
      <w:r w:rsidRPr="004F215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bidi="ar-SA"/>
        </w:rPr>
        <w:t xml:space="preserve">per la gestione dell’emergenza sanitaria COVID-19; </w:t>
      </w:r>
    </w:p>
    <w:p w:rsidR="00492462" w:rsidRPr="004F2153" w:rsidRDefault="00492462" w:rsidP="00BD6FE2">
      <w:pPr>
        <w:pStyle w:val="Paragrafoelenco"/>
        <w:widowControl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kern w:val="2"/>
          <w:sz w:val="28"/>
          <w:szCs w:val="28"/>
          <w:lang w:eastAsia="en-US" w:bidi="ar-SA"/>
        </w:rPr>
      </w:pPr>
      <w:r w:rsidRPr="004F215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bidi="ar-SA"/>
        </w:rPr>
        <w:lastRenderedPageBreak/>
        <w:t>dispositivo (es. tesserino) per identificazione del beneficiario.</w:t>
      </w:r>
    </w:p>
    <w:p w:rsidR="00492462" w:rsidRPr="004F2153" w:rsidRDefault="00492462" w:rsidP="004F2153">
      <w:pPr>
        <w:pStyle w:val="PONMetroArticolo"/>
        <w:spacing w:before="0" w:after="0" w:line="276" w:lineRule="auto"/>
        <w:jc w:val="both"/>
        <w:rPr>
          <w:rFonts w:asciiTheme="minorHAnsi" w:eastAsia="Tahoma" w:hAnsiTheme="minorHAnsi" w:cstheme="minorHAnsi"/>
          <w:b w:val="0"/>
          <w:color w:val="000000" w:themeColor="text1"/>
          <w:kern w:val="0"/>
          <w:sz w:val="28"/>
          <w:szCs w:val="28"/>
          <w:lang w:eastAsia="it-IT" w:bidi="it-IT"/>
        </w:rPr>
      </w:pPr>
      <w:r w:rsidRPr="00BD6FE2">
        <w:rPr>
          <w:rFonts w:asciiTheme="minorHAnsi" w:hAnsiTheme="minorHAnsi" w:cstheme="minorHAnsi"/>
          <w:color w:val="000000" w:themeColor="text1"/>
          <w:sz w:val="36"/>
          <w:szCs w:val="36"/>
        </w:rPr>
        <w:t>8.</w:t>
      </w:r>
      <w:r w:rsidRPr="004F21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D6FE2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Il Comune ha la responsabilità</w:t>
      </w:r>
      <w:r w:rsidRPr="004F2153">
        <w:rPr>
          <w:rFonts w:asciiTheme="minorHAnsi" w:eastAsia="Tahoma" w:hAnsiTheme="minorHAnsi" w:cstheme="minorHAnsi"/>
          <w:color w:val="000000" w:themeColor="text1"/>
          <w:sz w:val="28"/>
          <w:szCs w:val="28"/>
          <w:lang w:eastAsia="it-IT" w:bidi="it-IT"/>
        </w:rPr>
        <w:t xml:space="preserve"> </w:t>
      </w:r>
      <w:r w:rsidRPr="004F2153">
        <w:rPr>
          <w:rFonts w:asciiTheme="minorHAnsi" w:eastAsia="Tahoma" w:hAnsiTheme="minorHAnsi" w:cstheme="minorHAnsi"/>
          <w:b w:val="0"/>
          <w:color w:val="000000" w:themeColor="text1"/>
          <w:kern w:val="0"/>
          <w:sz w:val="28"/>
          <w:szCs w:val="28"/>
          <w:lang w:eastAsia="it-IT" w:bidi="it-IT"/>
        </w:rPr>
        <w:t xml:space="preserve">della copertura assicurativa contro gli infortuni e le malattie professionali presso INAIL e dell’Assicurazione per la responsabilità civile per danni causati a terzi sostenendone i relativi oneri in sede di attivazione e realizzazione </w:t>
      </w:r>
      <w:r w:rsidR="00BD6FE2">
        <w:rPr>
          <w:rFonts w:asciiTheme="minorHAnsi" w:eastAsia="Tahoma" w:hAnsiTheme="minorHAnsi" w:cstheme="minorHAnsi"/>
          <w:b w:val="0"/>
          <w:color w:val="000000" w:themeColor="text1"/>
          <w:kern w:val="0"/>
          <w:sz w:val="28"/>
          <w:szCs w:val="28"/>
          <w:lang w:eastAsia="it-IT" w:bidi="it-IT"/>
        </w:rPr>
        <w:t>dei PUC</w:t>
      </w:r>
    </w:p>
    <w:sectPr w:rsidR="00492462" w:rsidRPr="004F2153" w:rsidSect="0038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3A2"/>
    <w:multiLevelType w:val="multilevel"/>
    <w:tmpl w:val="0F3A6744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68302A"/>
    <w:multiLevelType w:val="multilevel"/>
    <w:tmpl w:val="0214162E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32D007C7"/>
    <w:multiLevelType w:val="multilevel"/>
    <w:tmpl w:val="11FA1086"/>
    <w:lvl w:ilvl="0">
      <w:start w:val="1"/>
      <w:numFmt w:val="bullet"/>
      <w:lvlText w:val=""/>
      <w:lvlJc w:val="left"/>
      <w:pPr>
        <w:ind w:left="473" w:hanging="361"/>
      </w:pPr>
      <w:rPr>
        <w:rFonts w:ascii="Wingdings" w:hAnsi="Wingdings" w:cs="Wingdings" w:hint="default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444" w:hanging="361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09" w:hanging="36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373" w:hanging="36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338" w:hanging="36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03" w:hanging="36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67" w:hanging="36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32" w:hanging="36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97" w:hanging="361"/>
      </w:pPr>
      <w:rPr>
        <w:rFonts w:ascii="Symbol" w:hAnsi="Symbol" w:cs="Symbol" w:hint="default"/>
        <w:lang w:val="it-IT" w:eastAsia="it-IT" w:bidi="it-IT"/>
      </w:rPr>
    </w:lvl>
  </w:abstractNum>
  <w:abstractNum w:abstractNumId="3">
    <w:nsid w:val="64AF4F65"/>
    <w:multiLevelType w:val="hybridMultilevel"/>
    <w:tmpl w:val="BBB6D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11EE"/>
    <w:rsid w:val="00005899"/>
    <w:rsid w:val="00324E18"/>
    <w:rsid w:val="0038796C"/>
    <w:rsid w:val="003D3C8D"/>
    <w:rsid w:val="003F10AE"/>
    <w:rsid w:val="00401AE7"/>
    <w:rsid w:val="00492462"/>
    <w:rsid w:val="004F2153"/>
    <w:rsid w:val="005100D9"/>
    <w:rsid w:val="005268AE"/>
    <w:rsid w:val="0076173C"/>
    <w:rsid w:val="007750A6"/>
    <w:rsid w:val="00875CF0"/>
    <w:rsid w:val="008A4C8F"/>
    <w:rsid w:val="00AF79D1"/>
    <w:rsid w:val="00BD6FE2"/>
    <w:rsid w:val="00C42C93"/>
    <w:rsid w:val="00D31E20"/>
    <w:rsid w:val="00D411EE"/>
    <w:rsid w:val="00D63EA9"/>
    <w:rsid w:val="00F906E0"/>
    <w:rsid w:val="00FD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9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Articolo">
    <w:name w:val="PONMetro | Articolo"/>
    <w:basedOn w:val="Normale"/>
    <w:qFormat/>
    <w:rsid w:val="00401AE7"/>
    <w:pPr>
      <w:suppressAutoHyphens/>
      <w:spacing w:before="480" w:after="60" w:line="360" w:lineRule="exact"/>
      <w:jc w:val="center"/>
    </w:pPr>
    <w:rPr>
      <w:rFonts w:ascii="Calibri" w:eastAsia="Calibri" w:hAnsi="Calibri" w:cs="Calibri"/>
      <w:b/>
      <w:color w:val="E20019"/>
      <w:kern w:val="2"/>
      <w:sz w:val="40"/>
      <w:szCs w:val="20"/>
    </w:rPr>
  </w:style>
  <w:style w:type="paragraph" w:styleId="Paragrafoelenco">
    <w:name w:val="List Paragraph"/>
    <w:basedOn w:val="Normale"/>
    <w:uiPriority w:val="1"/>
    <w:qFormat/>
    <w:rsid w:val="00401AE7"/>
    <w:pPr>
      <w:widowControl w:val="0"/>
      <w:suppressAutoHyphens/>
      <w:spacing w:after="0" w:line="240" w:lineRule="auto"/>
      <w:ind w:left="833" w:hanging="361"/>
    </w:pPr>
    <w:rPr>
      <w:rFonts w:ascii="Tahoma" w:eastAsia="Tahoma" w:hAnsi="Tahoma" w:cs="Tahom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42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Articolo">
    <w:name w:val="PONMetro | Articolo"/>
    <w:basedOn w:val="Normale"/>
    <w:qFormat/>
    <w:rsid w:val="00401AE7"/>
    <w:pPr>
      <w:suppressAutoHyphens/>
      <w:spacing w:before="480" w:after="60" w:line="360" w:lineRule="exact"/>
      <w:jc w:val="center"/>
    </w:pPr>
    <w:rPr>
      <w:rFonts w:ascii="Calibri" w:eastAsia="Calibri" w:hAnsi="Calibri" w:cs="Calibri"/>
      <w:b/>
      <w:color w:val="E20019"/>
      <w:kern w:val="2"/>
      <w:sz w:val="40"/>
      <w:szCs w:val="20"/>
    </w:rPr>
  </w:style>
  <w:style w:type="paragraph" w:styleId="Paragrafoelenco">
    <w:name w:val="List Paragraph"/>
    <w:basedOn w:val="Normale"/>
    <w:uiPriority w:val="1"/>
    <w:qFormat/>
    <w:rsid w:val="00401AE7"/>
    <w:pPr>
      <w:widowControl w:val="0"/>
      <w:suppressAutoHyphens/>
      <w:spacing w:after="0" w:line="240" w:lineRule="auto"/>
      <w:ind w:left="833" w:hanging="361"/>
    </w:pPr>
    <w:rPr>
      <w:rFonts w:ascii="Tahoma" w:eastAsia="Tahoma" w:hAnsi="Tahoma" w:cs="Tahom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42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5149-EC0E-4A71-BE43-FF428DB6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Mezzina Giovanni</dc:creator>
  <cp:lastModifiedBy>Nonnis Marzano Arianna</cp:lastModifiedBy>
  <cp:revision>2</cp:revision>
  <cp:lastPrinted>2020-09-23T11:53:00Z</cp:lastPrinted>
  <dcterms:created xsi:type="dcterms:W3CDTF">2020-09-24T12:17:00Z</dcterms:created>
  <dcterms:modified xsi:type="dcterms:W3CDTF">2020-09-24T12:17:00Z</dcterms:modified>
</cp:coreProperties>
</file>